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936" w:rsidRPr="00915969" w:rsidRDefault="00465936" w:rsidP="00465936">
      <w:pPr>
        <w:bidi w:val="0"/>
        <w:spacing w:before="100" w:beforeAutospacing="1" w:after="100" w:afterAutospacing="1"/>
        <w:jc w:val="center"/>
        <w:rPr>
          <w:rFonts w:ascii="Garamond" w:hAnsi="Garamond"/>
          <w:b/>
          <w:bCs/>
          <w:color w:val="000000"/>
          <w:sz w:val="24"/>
          <w:szCs w:val="24"/>
        </w:rPr>
      </w:pPr>
      <w:bookmarkStart w:id="0" w:name="_GoBack"/>
      <w:bookmarkEnd w:id="0"/>
      <w:r w:rsidRPr="00915969">
        <w:rPr>
          <w:rFonts w:ascii="Garamond" w:hAnsi="Garamond"/>
          <w:b/>
          <w:bCs/>
          <w:color w:val="000000"/>
          <w:sz w:val="24"/>
          <w:szCs w:val="24"/>
        </w:rPr>
        <w:t>TERMS OF REFERENCE</w:t>
      </w:r>
    </w:p>
    <w:p w:rsidR="00465936" w:rsidRPr="00915969" w:rsidRDefault="00465936" w:rsidP="00465936">
      <w:pPr>
        <w:suppressAutoHyphens/>
        <w:bidi w:val="0"/>
        <w:spacing w:after="0" w:line="240" w:lineRule="auto"/>
        <w:rPr>
          <w:rFonts w:ascii="Garamond" w:eastAsia="Times New Roman" w:hAnsi="Garamond" w:cs="Times New Roman"/>
          <w:b/>
          <w:u w:val="single"/>
          <w:lang w:val="en-GB"/>
        </w:rPr>
      </w:pPr>
    </w:p>
    <w:p w:rsidR="00465936" w:rsidRPr="00915969" w:rsidRDefault="00465936" w:rsidP="00465936">
      <w:pPr>
        <w:bidi w:val="0"/>
        <w:spacing w:after="120" w:line="240" w:lineRule="auto"/>
        <w:ind w:left="2160" w:hanging="2160"/>
        <w:jc w:val="both"/>
        <w:rPr>
          <w:rFonts w:ascii="Garamond" w:eastAsia="Times New Roman" w:hAnsi="Garamond" w:cs="Times New Roman"/>
          <w:b/>
          <w:lang w:val="en-GB"/>
        </w:rPr>
      </w:pPr>
      <w:r w:rsidRPr="00915969">
        <w:rPr>
          <w:rFonts w:ascii="Garamond" w:eastAsia="Times New Roman" w:hAnsi="Garamond" w:cs="Times New Roman"/>
          <w:b/>
          <w:lang w:val="en-GB"/>
        </w:rPr>
        <w:t>TITLE:</w:t>
      </w:r>
      <w:r w:rsidRPr="00915969">
        <w:rPr>
          <w:rFonts w:ascii="Garamond" w:eastAsia="Times New Roman" w:hAnsi="Garamond" w:cs="Times New Roman"/>
          <w:b/>
          <w:lang w:val="en-GB"/>
        </w:rPr>
        <w:tab/>
        <w:t xml:space="preserve">Research on ‘Housing, Land and Property disputes in Gaza Strip: Comparing the Formal Judicial System to Alternative Dispute Resolution Mechanisms and their impact on women’s rights.’ </w:t>
      </w:r>
    </w:p>
    <w:p w:rsidR="00465936" w:rsidRPr="00915969" w:rsidRDefault="00465936" w:rsidP="00465936">
      <w:pPr>
        <w:pBdr>
          <w:bottom w:val="single" w:sz="4" w:space="1" w:color="auto"/>
        </w:pBdr>
        <w:bidi w:val="0"/>
        <w:spacing w:after="120" w:line="240" w:lineRule="auto"/>
        <w:rPr>
          <w:rFonts w:ascii="Garamond" w:eastAsia="Times New Roman" w:hAnsi="Garamond" w:cs="Times New Roman"/>
          <w:b/>
          <w:lang w:val="en-GB"/>
        </w:rPr>
      </w:pPr>
      <w:r w:rsidRPr="00915969">
        <w:rPr>
          <w:rFonts w:ascii="Garamond" w:eastAsia="Times New Roman" w:hAnsi="Garamond" w:cs="Times New Roman"/>
          <w:b/>
          <w:lang w:val="en-GB"/>
        </w:rPr>
        <w:t>Time frame:                  24 October 2017 until 4 December 2017</w:t>
      </w:r>
    </w:p>
    <w:p w:rsidR="00465936" w:rsidRPr="00915969" w:rsidRDefault="00465936" w:rsidP="00465936">
      <w:pPr>
        <w:pBdr>
          <w:bottom w:val="single" w:sz="4" w:space="1" w:color="auto"/>
        </w:pBdr>
        <w:bidi w:val="0"/>
        <w:spacing w:after="120" w:line="240" w:lineRule="auto"/>
        <w:rPr>
          <w:rFonts w:ascii="Garamond" w:eastAsia="Times New Roman" w:hAnsi="Garamond" w:cs="Times New Roman"/>
          <w:b/>
          <w:lang w:val="en-GB"/>
        </w:rPr>
      </w:pPr>
      <w:r w:rsidRPr="00915969">
        <w:rPr>
          <w:rFonts w:ascii="Garamond" w:eastAsia="Times New Roman" w:hAnsi="Garamond" w:cs="Times New Roman"/>
          <w:b/>
          <w:lang w:val="en-GB"/>
        </w:rPr>
        <w:t>Reporting to</w:t>
      </w:r>
      <w:r>
        <w:rPr>
          <w:rFonts w:ascii="Garamond" w:eastAsia="Times New Roman" w:hAnsi="Garamond" w:cs="Times New Roman"/>
          <w:b/>
          <w:lang w:val="en-GB"/>
        </w:rPr>
        <w:t>:                Women Empowerment Program Manager</w:t>
      </w:r>
    </w:p>
    <w:p w:rsidR="00465936" w:rsidRPr="00915969" w:rsidRDefault="00465936" w:rsidP="00465936">
      <w:pPr>
        <w:bidi w:val="0"/>
        <w:jc w:val="both"/>
        <w:rPr>
          <w:rFonts w:ascii="Garamond" w:hAnsi="Garamond" w:cstheme="majorBidi"/>
          <w:b/>
          <w:bCs/>
        </w:rPr>
      </w:pPr>
      <w:r w:rsidRPr="00915969">
        <w:rPr>
          <w:rFonts w:ascii="Garamond" w:hAnsi="Garamond" w:cstheme="majorBidi"/>
          <w:b/>
          <w:bCs/>
        </w:rPr>
        <w:t>BACKGROUND</w:t>
      </w:r>
    </w:p>
    <w:p w:rsidR="00465936" w:rsidRPr="00915969" w:rsidRDefault="00465936" w:rsidP="00465936">
      <w:pPr>
        <w:bidi w:val="0"/>
        <w:jc w:val="both"/>
        <w:rPr>
          <w:rFonts w:ascii="Garamond" w:hAnsi="Garamond" w:cstheme="majorBidi"/>
        </w:rPr>
      </w:pPr>
      <w:r w:rsidRPr="00915969">
        <w:rPr>
          <w:rFonts w:ascii="Garamond" w:hAnsi="Garamond" w:cstheme="majorBidi"/>
        </w:rPr>
        <w:t>The Palestinian Centre for Democracy and Conflict Resolution (PCDCR) is a non-profit NGO that works in the field of education and social work by providing counseling services in conflict resolution to individuals, families and communities. PCDCR also works to promote and encourage citizens' participation in decision-making.</w:t>
      </w:r>
    </w:p>
    <w:p w:rsidR="00465936" w:rsidRPr="00A8465A" w:rsidRDefault="00465936" w:rsidP="00465936">
      <w:pPr>
        <w:bidi w:val="0"/>
        <w:jc w:val="both"/>
        <w:rPr>
          <w:rFonts w:ascii="Garamond" w:hAnsi="Garamond" w:cstheme="majorBidi"/>
        </w:rPr>
      </w:pPr>
      <w:r w:rsidRPr="00915969">
        <w:rPr>
          <w:rFonts w:ascii="Garamond" w:hAnsi="Garamond" w:cstheme="majorBidi"/>
        </w:rPr>
        <w:t xml:space="preserve">Since 2011, PCDCR in Gaza has implemented several projects </w:t>
      </w:r>
      <w:r>
        <w:rPr>
          <w:rFonts w:ascii="Garamond" w:hAnsi="Garamond" w:cstheme="majorBidi"/>
        </w:rPr>
        <w:t xml:space="preserve">to </w:t>
      </w:r>
      <w:r w:rsidRPr="00A8465A">
        <w:rPr>
          <w:rFonts w:ascii="Garamond" w:hAnsi="Garamond" w:cstheme="majorBidi"/>
          <w:lang w:val="en-GB"/>
        </w:rPr>
        <w:t xml:space="preserve">advance the rights of women and men who </w:t>
      </w:r>
      <w:r>
        <w:rPr>
          <w:rFonts w:ascii="Garamond" w:hAnsi="Garamond" w:cstheme="majorBidi"/>
          <w:lang w:val="en-GB"/>
        </w:rPr>
        <w:t xml:space="preserve">struggle to claim </w:t>
      </w:r>
      <w:r w:rsidRPr="00A8465A">
        <w:rPr>
          <w:rFonts w:ascii="Garamond" w:hAnsi="Garamond" w:cstheme="majorBidi"/>
          <w:lang w:val="en-GB"/>
        </w:rPr>
        <w:t>rights</w:t>
      </w:r>
      <w:r>
        <w:rPr>
          <w:rFonts w:ascii="Garamond" w:hAnsi="Garamond" w:cstheme="majorBidi"/>
          <w:lang w:val="en-GB"/>
        </w:rPr>
        <w:t xml:space="preserve"> related to Housing, Land and Property</w:t>
      </w:r>
      <w:r w:rsidRPr="00A8465A">
        <w:rPr>
          <w:rFonts w:ascii="Garamond" w:hAnsi="Garamond" w:cstheme="majorBidi"/>
          <w:lang w:val="en-GB"/>
        </w:rPr>
        <w:t xml:space="preserve"> </w:t>
      </w:r>
      <w:r>
        <w:rPr>
          <w:rFonts w:ascii="Garamond" w:hAnsi="Garamond" w:cstheme="majorBidi"/>
          <w:lang w:val="en-GB"/>
        </w:rPr>
        <w:t>(HLP)</w:t>
      </w:r>
      <w:r w:rsidRPr="00A8465A">
        <w:rPr>
          <w:rFonts w:ascii="Garamond" w:hAnsi="Garamond" w:cstheme="majorBidi"/>
          <w:lang w:val="en-GB"/>
        </w:rPr>
        <w:t xml:space="preserve">. Services provided include information, </w:t>
      </w:r>
      <w:r>
        <w:rPr>
          <w:rFonts w:ascii="Garamond" w:hAnsi="Garamond" w:cstheme="majorBidi"/>
          <w:lang w:val="en-GB"/>
        </w:rPr>
        <w:t xml:space="preserve">counselling </w:t>
      </w:r>
      <w:r w:rsidRPr="00A8465A">
        <w:rPr>
          <w:rFonts w:ascii="Garamond" w:hAnsi="Garamond" w:cstheme="majorBidi"/>
          <w:lang w:val="en-GB"/>
        </w:rPr>
        <w:t>and legal assistance. The overall objective of the project</w:t>
      </w:r>
      <w:r>
        <w:rPr>
          <w:rFonts w:ascii="Garamond" w:hAnsi="Garamond" w:cstheme="majorBidi"/>
          <w:lang w:val="en-GB"/>
        </w:rPr>
        <w:t>s</w:t>
      </w:r>
      <w:r w:rsidRPr="00A8465A">
        <w:rPr>
          <w:rFonts w:ascii="Garamond" w:hAnsi="Garamond" w:cstheme="majorBidi"/>
          <w:lang w:val="en-GB"/>
        </w:rPr>
        <w:t xml:space="preserve"> is to contribute to the promotion of the rule of law in the Gaza Strip by providing quality legal services, in the field of HLP, including advancing women’s rights and </w:t>
      </w:r>
      <w:r>
        <w:rPr>
          <w:rFonts w:ascii="Garamond" w:hAnsi="Garamond" w:cstheme="majorBidi"/>
          <w:lang w:val="en-GB"/>
        </w:rPr>
        <w:t>strengthening</w:t>
      </w:r>
      <w:r w:rsidRPr="00A8465A">
        <w:rPr>
          <w:rFonts w:ascii="Garamond" w:hAnsi="Garamond" w:cstheme="majorBidi"/>
          <w:lang w:val="en-GB"/>
        </w:rPr>
        <w:t xml:space="preserve"> the role of civil society to monitor, report and respond to HLP issues. </w:t>
      </w:r>
    </w:p>
    <w:p w:rsidR="00465936" w:rsidRDefault="00465936" w:rsidP="00465936">
      <w:pPr>
        <w:bidi w:val="0"/>
        <w:jc w:val="both"/>
        <w:rPr>
          <w:rFonts w:ascii="Garamond" w:hAnsi="Garamond" w:cstheme="majorBidi"/>
        </w:rPr>
      </w:pPr>
      <w:r>
        <w:rPr>
          <w:rFonts w:ascii="Garamond" w:hAnsi="Garamond" w:cstheme="majorBidi"/>
        </w:rPr>
        <w:t>T</w:t>
      </w:r>
      <w:r w:rsidRPr="00A8465A">
        <w:rPr>
          <w:rFonts w:ascii="Garamond" w:hAnsi="Garamond" w:cstheme="majorBidi"/>
          <w:lang w:val="en-GB"/>
        </w:rPr>
        <w:t>he project</w:t>
      </w:r>
      <w:r>
        <w:rPr>
          <w:rFonts w:ascii="Garamond" w:hAnsi="Garamond" w:cstheme="majorBidi"/>
          <w:lang w:val="en-GB"/>
        </w:rPr>
        <w:t>s</w:t>
      </w:r>
      <w:r w:rsidRPr="00A8465A">
        <w:rPr>
          <w:rFonts w:ascii="Garamond" w:hAnsi="Garamond" w:cstheme="majorBidi"/>
          <w:lang w:val="en-GB"/>
        </w:rPr>
        <w:t xml:space="preserve"> targeted all Gaza Strip Governorates w</w:t>
      </w:r>
      <w:r>
        <w:rPr>
          <w:rFonts w:ascii="Garamond" w:hAnsi="Garamond" w:cstheme="majorBidi"/>
          <w:lang w:val="en-GB"/>
        </w:rPr>
        <w:t>hile focusing</w:t>
      </w:r>
      <w:r w:rsidRPr="00A8465A">
        <w:rPr>
          <w:rFonts w:ascii="Garamond" w:hAnsi="Garamond" w:cstheme="majorBidi"/>
          <w:lang w:val="en-GB"/>
        </w:rPr>
        <w:t xml:space="preserve"> on the </w:t>
      </w:r>
      <w:r>
        <w:rPr>
          <w:rFonts w:ascii="Garamond" w:hAnsi="Garamond" w:cstheme="majorBidi"/>
          <w:lang w:val="en-GB"/>
        </w:rPr>
        <w:t>most vulnerable areas. To date, a</w:t>
      </w:r>
      <w:r w:rsidRPr="00A8465A">
        <w:rPr>
          <w:rFonts w:ascii="Garamond" w:hAnsi="Garamond" w:cstheme="majorBidi"/>
          <w:lang w:val="en-GB"/>
        </w:rPr>
        <w:t xml:space="preserve"> total </w:t>
      </w:r>
      <w:r>
        <w:rPr>
          <w:rFonts w:ascii="Garamond" w:hAnsi="Garamond" w:cstheme="majorBidi"/>
          <w:lang w:val="en-GB"/>
        </w:rPr>
        <w:t xml:space="preserve">of </w:t>
      </w:r>
      <w:r w:rsidRPr="00A8465A">
        <w:rPr>
          <w:rFonts w:ascii="Garamond" w:hAnsi="Garamond" w:cstheme="majorBidi"/>
          <w:lang w:val="en-GB"/>
        </w:rPr>
        <w:t xml:space="preserve">620 </w:t>
      </w:r>
      <w:r>
        <w:rPr>
          <w:rFonts w:ascii="Garamond" w:hAnsi="Garamond" w:cstheme="majorBidi"/>
          <w:lang w:val="en-GB"/>
        </w:rPr>
        <w:t xml:space="preserve">beneficiaries </w:t>
      </w:r>
      <w:r w:rsidRPr="00A8465A">
        <w:rPr>
          <w:rFonts w:ascii="Garamond" w:hAnsi="Garamond" w:cstheme="majorBidi"/>
          <w:lang w:val="en-GB"/>
        </w:rPr>
        <w:t>(494</w:t>
      </w:r>
      <w:r>
        <w:rPr>
          <w:rFonts w:ascii="Garamond" w:hAnsi="Garamond" w:cstheme="majorBidi"/>
          <w:lang w:val="en-GB"/>
        </w:rPr>
        <w:t xml:space="preserve"> women;</w:t>
      </w:r>
      <w:r w:rsidRPr="00A8465A">
        <w:rPr>
          <w:rFonts w:ascii="Garamond" w:hAnsi="Garamond" w:cstheme="majorBidi"/>
          <w:lang w:val="en-GB"/>
        </w:rPr>
        <w:t xml:space="preserve"> 1</w:t>
      </w:r>
      <w:r w:rsidRPr="00A8465A">
        <w:rPr>
          <w:rFonts w:ascii="Garamond" w:hAnsi="Garamond" w:cstheme="majorBidi" w:hint="cs"/>
          <w:rtl/>
        </w:rPr>
        <w:t>26</w:t>
      </w:r>
      <w:r w:rsidRPr="00A8465A">
        <w:rPr>
          <w:rFonts w:ascii="Garamond" w:hAnsi="Garamond" w:cstheme="majorBidi"/>
          <w:lang w:val="en-GB"/>
        </w:rPr>
        <w:t xml:space="preserve"> men) received</w:t>
      </w:r>
      <w:r w:rsidRPr="00A8465A">
        <w:rPr>
          <w:rFonts w:ascii="Garamond" w:hAnsi="Garamond" w:cstheme="majorBidi"/>
        </w:rPr>
        <w:t xml:space="preserve"> </w:t>
      </w:r>
      <w:r w:rsidRPr="00A8465A">
        <w:rPr>
          <w:rFonts w:ascii="Garamond" w:hAnsi="Garamond" w:cstheme="majorBidi"/>
          <w:lang w:val="en-GB"/>
        </w:rPr>
        <w:t xml:space="preserve">legal assistance </w:t>
      </w:r>
      <w:r>
        <w:rPr>
          <w:rFonts w:ascii="Garamond" w:hAnsi="Garamond" w:cstheme="majorBidi"/>
          <w:lang w:val="en-GB"/>
        </w:rPr>
        <w:t>enabling</w:t>
      </w:r>
      <w:r w:rsidRPr="00A8465A">
        <w:rPr>
          <w:rFonts w:ascii="Garamond" w:hAnsi="Garamond" w:cstheme="majorBidi"/>
          <w:lang w:val="en-GB"/>
        </w:rPr>
        <w:t xml:space="preserve"> th</w:t>
      </w:r>
      <w:r>
        <w:rPr>
          <w:rFonts w:ascii="Garamond" w:hAnsi="Garamond" w:cstheme="majorBidi"/>
          <w:lang w:val="en-GB"/>
        </w:rPr>
        <w:t>em to access their HLP rights either through</w:t>
      </w:r>
      <w:r w:rsidRPr="00A8465A">
        <w:rPr>
          <w:rFonts w:ascii="Garamond" w:hAnsi="Garamond" w:cstheme="majorBidi"/>
          <w:lang w:val="en-GB"/>
        </w:rPr>
        <w:t xml:space="preserve"> </w:t>
      </w:r>
      <w:r>
        <w:rPr>
          <w:rFonts w:ascii="Garamond" w:hAnsi="Garamond" w:cstheme="majorBidi"/>
          <w:lang w:val="en-GB"/>
        </w:rPr>
        <w:t>Alternative Dispute Resolution mechanisms (</w:t>
      </w:r>
      <w:r w:rsidRPr="00A8465A">
        <w:rPr>
          <w:rFonts w:ascii="Garamond" w:hAnsi="Garamond" w:cstheme="majorBidi"/>
          <w:lang w:val="en-GB"/>
        </w:rPr>
        <w:t>ADPs</w:t>
      </w:r>
      <w:r>
        <w:rPr>
          <w:rFonts w:ascii="Garamond" w:hAnsi="Garamond" w:cstheme="majorBidi"/>
          <w:lang w:val="en-GB"/>
        </w:rPr>
        <w:t xml:space="preserve">) facilitated by community leaders, </w:t>
      </w:r>
      <w:r w:rsidRPr="005258B9">
        <w:rPr>
          <w:rFonts w:ascii="Garamond" w:hAnsi="Garamond" w:cstheme="majorBidi"/>
          <w:lang w:val="en-GB"/>
        </w:rPr>
        <w:t>‘</w:t>
      </w:r>
      <w:proofErr w:type="spellStart"/>
      <w:r w:rsidRPr="005258B9">
        <w:rPr>
          <w:rFonts w:ascii="Garamond" w:hAnsi="Garamond" w:cstheme="majorBidi"/>
          <w:lang w:val="en-GB"/>
        </w:rPr>
        <w:t>Mukhtars</w:t>
      </w:r>
      <w:proofErr w:type="spellEnd"/>
      <w:r w:rsidRPr="005258B9">
        <w:rPr>
          <w:rFonts w:ascii="Garamond" w:hAnsi="Garamond" w:cstheme="majorBidi"/>
          <w:lang w:val="en-GB"/>
        </w:rPr>
        <w:t>’</w:t>
      </w:r>
      <w:r>
        <w:rPr>
          <w:rFonts w:ascii="Garamond" w:hAnsi="Garamond" w:cstheme="majorBidi"/>
          <w:lang w:val="en-GB"/>
        </w:rPr>
        <w:t>,</w:t>
      </w:r>
      <w:r w:rsidRPr="00A8465A">
        <w:rPr>
          <w:rFonts w:ascii="Garamond" w:hAnsi="Garamond" w:cstheme="majorBidi"/>
          <w:lang w:val="en-GB"/>
        </w:rPr>
        <w:t xml:space="preserve"> </w:t>
      </w:r>
      <w:r>
        <w:rPr>
          <w:rFonts w:ascii="Garamond" w:hAnsi="Garamond" w:cstheme="majorBidi"/>
          <w:lang w:val="en-GB"/>
        </w:rPr>
        <w:t>or through the formal judicial system (civil</w:t>
      </w:r>
      <w:r w:rsidRPr="00A8465A">
        <w:rPr>
          <w:rFonts w:ascii="Garamond" w:hAnsi="Garamond" w:cstheme="majorBidi"/>
          <w:lang w:val="en-GB"/>
        </w:rPr>
        <w:t xml:space="preserve"> courts</w:t>
      </w:r>
      <w:r>
        <w:rPr>
          <w:rFonts w:ascii="Garamond" w:hAnsi="Garamond" w:cstheme="majorBidi"/>
          <w:lang w:val="en-GB"/>
        </w:rPr>
        <w:t>).</w:t>
      </w:r>
      <w:r w:rsidRPr="00A8465A">
        <w:rPr>
          <w:rFonts w:ascii="Garamond" w:hAnsi="Garamond" w:cstheme="majorBidi"/>
          <w:lang w:val="en-GB"/>
        </w:rPr>
        <w:t xml:space="preserve"> </w:t>
      </w:r>
    </w:p>
    <w:p w:rsidR="00465936" w:rsidRDefault="00465936" w:rsidP="00465936">
      <w:pPr>
        <w:bidi w:val="0"/>
        <w:jc w:val="both"/>
        <w:rPr>
          <w:rFonts w:ascii="Garamond" w:hAnsi="Garamond" w:cstheme="majorBidi"/>
        </w:rPr>
      </w:pPr>
      <w:r w:rsidRPr="00915969">
        <w:rPr>
          <w:rFonts w:ascii="Garamond" w:hAnsi="Garamond" w:cstheme="majorBidi"/>
        </w:rPr>
        <w:t xml:space="preserve">Among the key lessons learned during the implementation of the various projects is the positive role that </w:t>
      </w:r>
      <w:proofErr w:type="spellStart"/>
      <w:r w:rsidRPr="005258B9">
        <w:rPr>
          <w:rFonts w:ascii="Garamond" w:hAnsi="Garamond" w:cstheme="majorBidi"/>
        </w:rPr>
        <w:t>Mukhtars</w:t>
      </w:r>
      <w:proofErr w:type="spellEnd"/>
      <w:r w:rsidRPr="005258B9">
        <w:rPr>
          <w:rFonts w:ascii="Garamond" w:hAnsi="Garamond" w:cstheme="majorBidi"/>
        </w:rPr>
        <w:t xml:space="preserve"> </w:t>
      </w:r>
      <w:r w:rsidRPr="00915969">
        <w:rPr>
          <w:rFonts w:ascii="Garamond" w:hAnsi="Garamond" w:cstheme="majorBidi"/>
        </w:rPr>
        <w:t xml:space="preserve">assume in the </w:t>
      </w:r>
      <w:r>
        <w:rPr>
          <w:rFonts w:ascii="Garamond" w:hAnsi="Garamond" w:cstheme="majorBidi"/>
        </w:rPr>
        <w:t xml:space="preserve">facilitation </w:t>
      </w:r>
      <w:r w:rsidRPr="00915969">
        <w:rPr>
          <w:rFonts w:ascii="Garamond" w:hAnsi="Garamond" w:cstheme="majorBidi"/>
        </w:rPr>
        <w:t>of HLP disputes through</w:t>
      </w:r>
      <w:r>
        <w:rPr>
          <w:rFonts w:ascii="Garamond" w:hAnsi="Garamond" w:cstheme="majorBidi"/>
        </w:rPr>
        <w:t xml:space="preserve"> </w:t>
      </w:r>
      <w:r w:rsidRPr="00915969">
        <w:rPr>
          <w:rFonts w:ascii="Garamond" w:hAnsi="Garamond" w:cstheme="majorBidi"/>
        </w:rPr>
        <w:t>ADPs</w:t>
      </w:r>
      <w:r>
        <w:rPr>
          <w:rFonts w:ascii="Garamond" w:hAnsi="Garamond" w:cstheme="majorBidi"/>
        </w:rPr>
        <w:t xml:space="preserve"> (mediation or arbitration</w:t>
      </w:r>
      <w:r w:rsidRPr="00915969">
        <w:rPr>
          <w:rFonts w:ascii="Garamond" w:hAnsi="Garamond" w:cstheme="majorBidi"/>
        </w:rPr>
        <w:t xml:space="preserve">). To this end, PCDCR took up the initiative to build capacity of </w:t>
      </w:r>
      <w:proofErr w:type="spellStart"/>
      <w:r w:rsidRPr="005258B9">
        <w:rPr>
          <w:rFonts w:ascii="Garamond" w:hAnsi="Garamond" w:cstheme="majorBidi"/>
        </w:rPr>
        <w:t>Mukhtars</w:t>
      </w:r>
      <w:proofErr w:type="spellEnd"/>
      <w:r w:rsidRPr="005258B9">
        <w:rPr>
          <w:rFonts w:ascii="Garamond" w:hAnsi="Garamond" w:cstheme="majorBidi"/>
        </w:rPr>
        <w:t xml:space="preserve"> i</w:t>
      </w:r>
      <w:r>
        <w:rPr>
          <w:rFonts w:ascii="Garamond" w:hAnsi="Garamond" w:cstheme="majorBidi"/>
        </w:rPr>
        <w:t>n the field of HLP and women’s rights,</w:t>
      </w:r>
      <w:r w:rsidRPr="00915969">
        <w:rPr>
          <w:rFonts w:ascii="Garamond" w:hAnsi="Garamond" w:cstheme="majorBidi"/>
        </w:rPr>
        <w:t xml:space="preserve"> making them well-qualified to </w:t>
      </w:r>
      <w:r>
        <w:rPr>
          <w:rFonts w:ascii="Garamond" w:hAnsi="Garamond" w:cstheme="majorBidi"/>
        </w:rPr>
        <w:t>facilitate such disputes</w:t>
      </w:r>
      <w:r w:rsidRPr="00915969">
        <w:rPr>
          <w:rFonts w:ascii="Garamond" w:hAnsi="Garamond" w:cstheme="majorBidi"/>
        </w:rPr>
        <w:t xml:space="preserve">. </w:t>
      </w:r>
    </w:p>
    <w:p w:rsidR="00465936" w:rsidRPr="00EC215D" w:rsidRDefault="00465936" w:rsidP="00465936">
      <w:pPr>
        <w:bidi w:val="0"/>
        <w:jc w:val="both"/>
        <w:rPr>
          <w:rFonts w:ascii="Garamond" w:hAnsi="Garamond" w:cstheme="majorBidi"/>
        </w:rPr>
      </w:pPr>
      <w:r>
        <w:rPr>
          <w:rFonts w:ascii="Garamond" w:hAnsi="Garamond" w:cstheme="majorBidi"/>
        </w:rPr>
        <w:t xml:space="preserve">The need to enhance the capacity of </w:t>
      </w:r>
      <w:proofErr w:type="spellStart"/>
      <w:r>
        <w:rPr>
          <w:rFonts w:ascii="Garamond" w:hAnsi="Garamond" w:cstheme="majorBidi"/>
        </w:rPr>
        <w:t>Mukhtars</w:t>
      </w:r>
      <w:proofErr w:type="spellEnd"/>
      <w:r>
        <w:rPr>
          <w:rFonts w:ascii="Garamond" w:hAnsi="Garamond" w:cstheme="majorBidi"/>
        </w:rPr>
        <w:t xml:space="preserve"> to mediate HLP disputes stems from the growing recognition that the formal judicial system in Gaza is not always the optimal avenue to pursue HLP rights, especially for women, due to several reasons, including: lack of resources within the judicial system, lack of expertise of judges in the field of HLP and women’s rights and the fear of social stigma often attached to women who turn to courts. Therefore, it </w:t>
      </w:r>
      <w:r w:rsidRPr="00915969">
        <w:rPr>
          <w:rFonts w:ascii="Garamond" w:hAnsi="Garamond" w:cstheme="majorBidi"/>
        </w:rPr>
        <w:t xml:space="preserve">is crucial for </w:t>
      </w:r>
      <w:r>
        <w:rPr>
          <w:rFonts w:ascii="Garamond" w:hAnsi="Garamond" w:cstheme="majorBidi"/>
        </w:rPr>
        <w:t xml:space="preserve">Gazans </w:t>
      </w:r>
      <w:r w:rsidRPr="00915969">
        <w:rPr>
          <w:rFonts w:ascii="Garamond" w:hAnsi="Garamond" w:cstheme="majorBidi"/>
        </w:rPr>
        <w:t xml:space="preserve">to </w:t>
      </w:r>
      <w:r>
        <w:rPr>
          <w:rFonts w:ascii="Garamond" w:hAnsi="Garamond" w:cstheme="majorBidi"/>
        </w:rPr>
        <w:t xml:space="preserve">also </w:t>
      </w:r>
      <w:r w:rsidRPr="00915969">
        <w:rPr>
          <w:rFonts w:ascii="Garamond" w:hAnsi="Garamond" w:cstheme="majorBidi"/>
        </w:rPr>
        <w:t>have access</w:t>
      </w:r>
      <w:r>
        <w:rPr>
          <w:rFonts w:ascii="Garamond" w:hAnsi="Garamond" w:cstheme="majorBidi"/>
        </w:rPr>
        <w:t xml:space="preserve"> to ADPs</w:t>
      </w:r>
      <w:r w:rsidRPr="00915969">
        <w:rPr>
          <w:rFonts w:ascii="Garamond" w:hAnsi="Garamond" w:cstheme="majorBidi"/>
        </w:rPr>
        <w:t xml:space="preserve">. In addition to the </w:t>
      </w:r>
      <w:r>
        <w:rPr>
          <w:rFonts w:ascii="Garamond" w:hAnsi="Garamond" w:cstheme="majorBidi"/>
        </w:rPr>
        <w:t xml:space="preserve">significant saving of </w:t>
      </w:r>
      <w:r w:rsidRPr="00915969">
        <w:rPr>
          <w:rFonts w:ascii="Garamond" w:hAnsi="Garamond" w:cstheme="majorBidi"/>
        </w:rPr>
        <w:t xml:space="preserve">time </w:t>
      </w:r>
      <w:r>
        <w:rPr>
          <w:rFonts w:ascii="Garamond" w:hAnsi="Garamond" w:cstheme="majorBidi"/>
        </w:rPr>
        <w:t xml:space="preserve">and cost often </w:t>
      </w:r>
      <w:r w:rsidRPr="00915969">
        <w:rPr>
          <w:rFonts w:ascii="Garamond" w:hAnsi="Garamond" w:cstheme="majorBidi"/>
        </w:rPr>
        <w:t>enta</w:t>
      </w:r>
      <w:r>
        <w:rPr>
          <w:rFonts w:ascii="Garamond" w:hAnsi="Garamond" w:cstheme="majorBidi"/>
        </w:rPr>
        <w:t xml:space="preserve">iled in litigation before courts, the availability of ADPs </w:t>
      </w:r>
      <w:r w:rsidRPr="00915969">
        <w:rPr>
          <w:rFonts w:ascii="Garamond" w:hAnsi="Garamond" w:cstheme="majorBidi"/>
        </w:rPr>
        <w:t>respond</w:t>
      </w:r>
      <w:r>
        <w:rPr>
          <w:rFonts w:ascii="Garamond" w:hAnsi="Garamond" w:cstheme="majorBidi"/>
        </w:rPr>
        <w:t>s to social barriers that</w:t>
      </w:r>
      <w:r w:rsidRPr="00915969">
        <w:rPr>
          <w:rFonts w:ascii="Garamond" w:hAnsi="Garamond" w:cstheme="majorBidi"/>
        </w:rPr>
        <w:t xml:space="preserve"> curtail women’s access to justice. Palestinian women who seek to claim their rights be</w:t>
      </w:r>
      <w:r>
        <w:rPr>
          <w:rFonts w:ascii="Garamond" w:hAnsi="Garamond" w:cstheme="majorBidi"/>
        </w:rPr>
        <w:t xml:space="preserve">fore a court pay a heavy </w:t>
      </w:r>
      <w:r w:rsidRPr="00915969">
        <w:rPr>
          <w:rFonts w:ascii="Garamond" w:hAnsi="Garamond" w:cstheme="majorBidi"/>
        </w:rPr>
        <w:t xml:space="preserve">price and are often socially ostracized. This creates a ‘chilling effect’ hindering </w:t>
      </w:r>
      <w:r>
        <w:rPr>
          <w:rFonts w:ascii="Garamond" w:hAnsi="Garamond" w:cstheme="majorBidi"/>
        </w:rPr>
        <w:t>them from the outset</w:t>
      </w:r>
      <w:r w:rsidRPr="00915969">
        <w:rPr>
          <w:rFonts w:ascii="Garamond" w:hAnsi="Garamond" w:cstheme="majorBidi"/>
        </w:rPr>
        <w:t xml:space="preserve"> from </w:t>
      </w:r>
      <w:r>
        <w:rPr>
          <w:rFonts w:ascii="Garamond" w:hAnsi="Garamond" w:cstheme="majorBidi"/>
        </w:rPr>
        <w:t>claiming their rights</w:t>
      </w:r>
      <w:r w:rsidRPr="00915969">
        <w:rPr>
          <w:rFonts w:ascii="Garamond" w:hAnsi="Garamond" w:cstheme="majorBidi"/>
        </w:rPr>
        <w:t xml:space="preserve">. The turn to communal forums, such as ADPs, opens before </w:t>
      </w:r>
      <w:r>
        <w:rPr>
          <w:rFonts w:ascii="Garamond" w:hAnsi="Garamond" w:cstheme="majorBidi"/>
        </w:rPr>
        <w:t xml:space="preserve">women in Gaza an avenue through </w:t>
      </w:r>
      <w:r w:rsidRPr="00915969">
        <w:rPr>
          <w:rFonts w:ascii="Garamond" w:hAnsi="Garamond" w:cstheme="majorBidi"/>
        </w:rPr>
        <w:t xml:space="preserve">which they can claim their rights while </w:t>
      </w:r>
      <w:r>
        <w:rPr>
          <w:rFonts w:ascii="Garamond" w:hAnsi="Garamond" w:cstheme="majorBidi"/>
        </w:rPr>
        <w:t xml:space="preserve">minimizing associated social risks. </w:t>
      </w:r>
    </w:p>
    <w:p w:rsidR="00465936" w:rsidRDefault="00465936" w:rsidP="00465936">
      <w:pPr>
        <w:bidi w:val="0"/>
        <w:jc w:val="both"/>
        <w:rPr>
          <w:rFonts w:ascii="Garamond" w:hAnsi="Garamond" w:cstheme="majorBidi"/>
          <w:b/>
          <w:bCs/>
        </w:rPr>
      </w:pPr>
    </w:p>
    <w:p w:rsidR="00465936" w:rsidRPr="00915969" w:rsidRDefault="00465936" w:rsidP="00465936">
      <w:pPr>
        <w:bidi w:val="0"/>
        <w:jc w:val="both"/>
        <w:rPr>
          <w:rFonts w:ascii="Garamond" w:hAnsi="Garamond" w:cstheme="majorBidi"/>
          <w:b/>
          <w:bCs/>
        </w:rPr>
      </w:pPr>
      <w:r>
        <w:rPr>
          <w:rFonts w:ascii="Garamond" w:hAnsi="Garamond" w:cstheme="majorBidi"/>
          <w:b/>
          <w:bCs/>
        </w:rPr>
        <w:t>OBJECTIVES</w:t>
      </w:r>
    </w:p>
    <w:p w:rsidR="00465936" w:rsidRDefault="00465936" w:rsidP="00465936">
      <w:pPr>
        <w:bidi w:val="0"/>
        <w:jc w:val="both"/>
        <w:rPr>
          <w:rFonts w:ascii="Garamond" w:eastAsia="Calibri" w:hAnsi="Garamond"/>
        </w:rPr>
      </w:pPr>
      <w:r w:rsidRPr="00915969">
        <w:rPr>
          <w:rFonts w:ascii="Garamond" w:eastAsia="Calibri" w:hAnsi="Garamond"/>
        </w:rPr>
        <w:t xml:space="preserve">The objective of the current </w:t>
      </w:r>
      <w:proofErr w:type="spellStart"/>
      <w:r w:rsidRPr="00915969">
        <w:rPr>
          <w:rFonts w:ascii="Garamond" w:eastAsia="Calibri" w:hAnsi="Garamond"/>
        </w:rPr>
        <w:t>ToR</w:t>
      </w:r>
      <w:proofErr w:type="spellEnd"/>
      <w:r w:rsidRPr="00915969">
        <w:rPr>
          <w:rFonts w:ascii="Garamond" w:eastAsia="Calibri" w:hAnsi="Garamond"/>
        </w:rPr>
        <w:t xml:space="preserve"> is to</w:t>
      </w:r>
      <w:r>
        <w:rPr>
          <w:rFonts w:ascii="Garamond" w:eastAsia="Calibri" w:hAnsi="Garamond"/>
        </w:rPr>
        <w:t xml:space="preserve"> commission a report which critically compares the use of the formal judicial system in Gaza (civil courts) to the use of ADPs in resolving HLP disputes, with a focus on the comparative impact that each has on women’s ability to claim their HLP rights. The research shall assess, among others, the following factors:</w:t>
      </w:r>
    </w:p>
    <w:p w:rsidR="00465936" w:rsidRDefault="00465936" w:rsidP="00465936">
      <w:pPr>
        <w:pStyle w:val="a6"/>
        <w:numPr>
          <w:ilvl w:val="0"/>
          <w:numId w:val="2"/>
        </w:numPr>
        <w:bidi w:val="0"/>
        <w:jc w:val="both"/>
        <w:rPr>
          <w:rFonts w:ascii="Garamond" w:eastAsia="Calibri" w:hAnsi="Garamond"/>
        </w:rPr>
      </w:pPr>
      <w:r>
        <w:rPr>
          <w:rFonts w:ascii="Garamond" w:eastAsia="Calibri" w:hAnsi="Garamond"/>
        </w:rPr>
        <w:t>consent of the parties to the use of formal/alternative forum</w:t>
      </w:r>
    </w:p>
    <w:p w:rsidR="00465936" w:rsidRDefault="00465936" w:rsidP="00465936">
      <w:pPr>
        <w:pStyle w:val="a6"/>
        <w:numPr>
          <w:ilvl w:val="0"/>
          <w:numId w:val="2"/>
        </w:numPr>
        <w:bidi w:val="0"/>
        <w:jc w:val="both"/>
        <w:rPr>
          <w:rFonts w:ascii="Garamond" w:eastAsia="Calibri" w:hAnsi="Garamond"/>
        </w:rPr>
      </w:pPr>
      <w:r>
        <w:rPr>
          <w:rFonts w:ascii="Garamond" w:eastAsia="Calibri" w:hAnsi="Garamond"/>
        </w:rPr>
        <w:lastRenderedPageBreak/>
        <w:t xml:space="preserve">satisfaction of the parties with the procedures used by formal/alternative forum </w:t>
      </w:r>
    </w:p>
    <w:p w:rsidR="00465936" w:rsidRDefault="00465936" w:rsidP="00465936">
      <w:pPr>
        <w:pStyle w:val="a6"/>
        <w:numPr>
          <w:ilvl w:val="0"/>
          <w:numId w:val="2"/>
        </w:numPr>
        <w:bidi w:val="0"/>
        <w:jc w:val="both"/>
        <w:rPr>
          <w:rFonts w:ascii="Garamond" w:eastAsia="Calibri" w:hAnsi="Garamond"/>
        </w:rPr>
      </w:pPr>
      <w:r>
        <w:rPr>
          <w:rFonts w:ascii="Garamond" w:eastAsia="Calibri" w:hAnsi="Garamond"/>
        </w:rPr>
        <w:t xml:space="preserve">satisfaction of the parties with the substantial outcome of the process </w:t>
      </w:r>
    </w:p>
    <w:p w:rsidR="00465936" w:rsidRPr="00E73CF5" w:rsidRDefault="00465936" w:rsidP="00465936">
      <w:pPr>
        <w:pStyle w:val="a6"/>
        <w:numPr>
          <w:ilvl w:val="0"/>
          <w:numId w:val="2"/>
        </w:numPr>
        <w:bidi w:val="0"/>
        <w:jc w:val="both"/>
        <w:rPr>
          <w:rFonts w:ascii="Garamond" w:eastAsia="Calibri" w:hAnsi="Garamond"/>
        </w:rPr>
      </w:pPr>
      <w:r>
        <w:rPr>
          <w:rFonts w:ascii="Garamond" w:eastAsia="Calibri" w:hAnsi="Garamond"/>
        </w:rPr>
        <w:t xml:space="preserve">expertise of judges compared to that of </w:t>
      </w:r>
      <w:proofErr w:type="spellStart"/>
      <w:r>
        <w:rPr>
          <w:rFonts w:ascii="Garamond" w:eastAsia="Calibri" w:hAnsi="Garamond"/>
        </w:rPr>
        <w:t>Mukhtars</w:t>
      </w:r>
      <w:proofErr w:type="spellEnd"/>
      <w:r>
        <w:rPr>
          <w:rFonts w:ascii="Garamond" w:eastAsia="Calibri" w:hAnsi="Garamond"/>
        </w:rPr>
        <w:t xml:space="preserve"> in HLP issues in general and in women’s HLP rights specifically</w:t>
      </w:r>
    </w:p>
    <w:p w:rsidR="00465936" w:rsidRDefault="00465936" w:rsidP="00465936">
      <w:pPr>
        <w:pStyle w:val="a6"/>
        <w:numPr>
          <w:ilvl w:val="0"/>
          <w:numId w:val="2"/>
        </w:numPr>
        <w:bidi w:val="0"/>
        <w:jc w:val="both"/>
        <w:rPr>
          <w:rFonts w:ascii="Garamond" w:eastAsia="Calibri" w:hAnsi="Garamond"/>
        </w:rPr>
      </w:pPr>
      <w:r>
        <w:rPr>
          <w:rFonts w:ascii="Garamond" w:eastAsia="Calibri" w:hAnsi="Garamond"/>
        </w:rPr>
        <w:t>duration of process</w:t>
      </w:r>
    </w:p>
    <w:p w:rsidR="00465936" w:rsidRDefault="00465936" w:rsidP="00465936">
      <w:pPr>
        <w:pStyle w:val="a6"/>
        <w:numPr>
          <w:ilvl w:val="0"/>
          <w:numId w:val="2"/>
        </w:numPr>
        <w:bidi w:val="0"/>
        <w:jc w:val="both"/>
        <w:rPr>
          <w:rFonts w:ascii="Garamond" w:eastAsia="Calibri" w:hAnsi="Garamond"/>
        </w:rPr>
      </w:pPr>
      <w:r>
        <w:rPr>
          <w:rFonts w:ascii="Garamond" w:eastAsia="Calibri" w:hAnsi="Garamond"/>
        </w:rPr>
        <w:t>direct and related costs of process</w:t>
      </w:r>
    </w:p>
    <w:p w:rsidR="00465936" w:rsidRPr="00204B7A" w:rsidRDefault="00465936" w:rsidP="00465936">
      <w:pPr>
        <w:pStyle w:val="a6"/>
        <w:numPr>
          <w:ilvl w:val="0"/>
          <w:numId w:val="2"/>
        </w:numPr>
        <w:bidi w:val="0"/>
        <w:jc w:val="both"/>
        <w:rPr>
          <w:rFonts w:ascii="Garamond" w:eastAsia="Calibri" w:hAnsi="Garamond"/>
        </w:rPr>
      </w:pPr>
      <w:r>
        <w:rPr>
          <w:rFonts w:ascii="Garamond" w:eastAsia="Calibri" w:hAnsi="Garamond"/>
        </w:rPr>
        <w:t xml:space="preserve">sustainability of outcome (was the decision implemented in practice and what where its effects on the relationship between the parties) </w:t>
      </w:r>
    </w:p>
    <w:p w:rsidR="00465936" w:rsidRDefault="00465936" w:rsidP="00465936">
      <w:pPr>
        <w:bidi w:val="0"/>
        <w:jc w:val="both"/>
        <w:rPr>
          <w:rFonts w:ascii="Garamond" w:hAnsi="Garamond" w:cstheme="majorBidi"/>
          <w:b/>
          <w:bCs/>
        </w:rPr>
      </w:pPr>
    </w:p>
    <w:p w:rsidR="00465936" w:rsidRPr="00915969" w:rsidRDefault="00465936" w:rsidP="00465936">
      <w:pPr>
        <w:bidi w:val="0"/>
        <w:jc w:val="both"/>
        <w:rPr>
          <w:rFonts w:ascii="Garamond" w:hAnsi="Garamond" w:cstheme="majorBidi"/>
          <w:b/>
          <w:bCs/>
        </w:rPr>
      </w:pPr>
      <w:r w:rsidRPr="00915969">
        <w:rPr>
          <w:rFonts w:ascii="Garamond" w:hAnsi="Garamond" w:cstheme="majorBidi"/>
          <w:b/>
          <w:bCs/>
        </w:rPr>
        <w:t>EXPEC</w:t>
      </w:r>
      <w:r>
        <w:rPr>
          <w:rFonts w:ascii="Garamond" w:hAnsi="Garamond" w:cstheme="majorBidi"/>
          <w:b/>
          <w:bCs/>
        </w:rPr>
        <w:t>TED OUTPUTS</w:t>
      </w:r>
      <w:r w:rsidRPr="00915969">
        <w:rPr>
          <w:rFonts w:ascii="Garamond" w:hAnsi="Garamond" w:cstheme="majorBidi"/>
          <w:b/>
          <w:bCs/>
        </w:rPr>
        <w:t xml:space="preserve"> </w:t>
      </w:r>
    </w:p>
    <w:p w:rsidR="00465936" w:rsidRDefault="00465936" w:rsidP="00465936">
      <w:pPr>
        <w:bidi w:val="0"/>
        <w:jc w:val="both"/>
        <w:rPr>
          <w:rFonts w:ascii="Garamond" w:hAnsi="Garamond" w:cstheme="majorBidi"/>
        </w:rPr>
      </w:pPr>
      <w:r w:rsidRPr="00915969">
        <w:rPr>
          <w:rFonts w:ascii="Garamond" w:hAnsi="Garamond" w:cstheme="majorBidi"/>
        </w:rPr>
        <w:t xml:space="preserve">The author shall prepare a </w:t>
      </w:r>
      <w:r>
        <w:rPr>
          <w:rFonts w:ascii="Garamond" w:hAnsi="Garamond" w:cstheme="majorBidi"/>
        </w:rPr>
        <w:t>research report. It is expected that the research report:</w:t>
      </w:r>
    </w:p>
    <w:p w:rsidR="00465936" w:rsidRDefault="00465936" w:rsidP="00465936">
      <w:pPr>
        <w:pStyle w:val="a6"/>
        <w:numPr>
          <w:ilvl w:val="0"/>
          <w:numId w:val="3"/>
        </w:numPr>
        <w:bidi w:val="0"/>
        <w:jc w:val="both"/>
        <w:rPr>
          <w:rFonts w:ascii="Garamond" w:hAnsi="Garamond" w:cstheme="majorBidi"/>
        </w:rPr>
      </w:pPr>
      <w:r>
        <w:rPr>
          <w:rFonts w:ascii="Garamond" w:hAnsi="Garamond" w:cstheme="majorBidi"/>
        </w:rPr>
        <w:t>cover the period between 2011-2017, the period in which PCDCR implemented its Mukhtar-led ADP projects</w:t>
      </w:r>
    </w:p>
    <w:p w:rsidR="00465936" w:rsidRDefault="00465936" w:rsidP="00465936">
      <w:pPr>
        <w:pStyle w:val="a6"/>
        <w:numPr>
          <w:ilvl w:val="0"/>
          <w:numId w:val="3"/>
        </w:numPr>
        <w:bidi w:val="0"/>
        <w:jc w:val="both"/>
        <w:rPr>
          <w:rFonts w:ascii="Garamond" w:hAnsi="Garamond" w:cstheme="majorBidi"/>
        </w:rPr>
      </w:pPr>
      <w:r w:rsidRPr="00E73CF5">
        <w:rPr>
          <w:rFonts w:ascii="Garamond" w:hAnsi="Garamond" w:cstheme="majorBidi"/>
        </w:rPr>
        <w:t>highlight the impact of the services offered by the Mukhtar led ADPs in HLP related disputes, in compar</w:t>
      </w:r>
      <w:r>
        <w:rPr>
          <w:rFonts w:ascii="Garamond" w:hAnsi="Garamond" w:cstheme="majorBidi"/>
        </w:rPr>
        <w:t>ison to the services provided by</w:t>
      </w:r>
      <w:r w:rsidRPr="00E73CF5">
        <w:rPr>
          <w:rFonts w:ascii="Garamond" w:hAnsi="Garamond" w:cstheme="majorBidi"/>
        </w:rPr>
        <w:t xml:space="preserve"> the formal judicial system in Gaza.</w:t>
      </w:r>
    </w:p>
    <w:p w:rsidR="00465936" w:rsidRDefault="00465936" w:rsidP="00465936">
      <w:pPr>
        <w:pStyle w:val="a6"/>
        <w:numPr>
          <w:ilvl w:val="0"/>
          <w:numId w:val="3"/>
        </w:numPr>
        <w:bidi w:val="0"/>
        <w:jc w:val="both"/>
        <w:rPr>
          <w:rFonts w:ascii="Garamond" w:hAnsi="Garamond" w:cstheme="majorBidi"/>
        </w:rPr>
      </w:pPr>
      <w:r>
        <w:rPr>
          <w:rFonts w:ascii="Garamond" w:hAnsi="Garamond" w:cstheme="majorBidi"/>
        </w:rPr>
        <w:t xml:space="preserve">portray a realistic picture of Mukhtar-led ADPs, including a critical analysis of both positive and negative impacts that ADPs have on women’s access to HLP rights </w:t>
      </w:r>
    </w:p>
    <w:p w:rsidR="00465936" w:rsidRPr="00DB0CD1" w:rsidRDefault="00465936" w:rsidP="00465936">
      <w:pPr>
        <w:pStyle w:val="a6"/>
        <w:numPr>
          <w:ilvl w:val="0"/>
          <w:numId w:val="3"/>
        </w:numPr>
        <w:bidi w:val="0"/>
        <w:jc w:val="both"/>
        <w:rPr>
          <w:rFonts w:ascii="Garamond" w:hAnsi="Garamond" w:cstheme="majorBidi"/>
        </w:rPr>
      </w:pPr>
      <w:r w:rsidRPr="00DB0CD1">
        <w:rPr>
          <w:rFonts w:ascii="Garamond" w:hAnsi="Garamond" w:cstheme="majorBidi"/>
        </w:rPr>
        <w:t xml:space="preserve">clarify the challenges faced by the </w:t>
      </w:r>
      <w:proofErr w:type="spellStart"/>
      <w:r w:rsidRPr="00DB0CD1">
        <w:rPr>
          <w:rFonts w:ascii="Garamond" w:hAnsi="Garamond" w:cstheme="majorBidi"/>
        </w:rPr>
        <w:t>Mukhtars</w:t>
      </w:r>
      <w:proofErr w:type="spellEnd"/>
      <w:r w:rsidRPr="00DB0CD1">
        <w:rPr>
          <w:rFonts w:ascii="Garamond" w:hAnsi="Garamond" w:cstheme="majorBidi"/>
        </w:rPr>
        <w:t xml:space="preserve"> in their work and provide recommendations to overcome them with the aim of formulating effective mechanisms to enhance the ability of </w:t>
      </w:r>
      <w:proofErr w:type="spellStart"/>
      <w:r w:rsidRPr="00DB0CD1">
        <w:rPr>
          <w:rFonts w:ascii="Garamond" w:hAnsi="Garamond" w:cstheme="majorBidi"/>
        </w:rPr>
        <w:t>Mukhtars</w:t>
      </w:r>
      <w:proofErr w:type="spellEnd"/>
      <w:r w:rsidRPr="00DB0CD1">
        <w:rPr>
          <w:rFonts w:ascii="Garamond" w:hAnsi="Garamond" w:cstheme="majorBidi"/>
        </w:rPr>
        <w:t xml:space="preserve"> to provide services effectively.</w:t>
      </w:r>
    </w:p>
    <w:p w:rsidR="00465936" w:rsidRDefault="00465936" w:rsidP="00465936">
      <w:pPr>
        <w:pStyle w:val="a6"/>
        <w:numPr>
          <w:ilvl w:val="0"/>
          <w:numId w:val="3"/>
        </w:numPr>
        <w:bidi w:val="0"/>
        <w:jc w:val="both"/>
        <w:rPr>
          <w:rFonts w:ascii="Garamond" w:hAnsi="Garamond" w:cstheme="majorBidi"/>
        </w:rPr>
      </w:pPr>
      <w:r>
        <w:rPr>
          <w:rFonts w:ascii="Garamond" w:hAnsi="Garamond" w:cstheme="majorBidi"/>
        </w:rPr>
        <w:t xml:space="preserve">discuss the impact that the introduction of ADPs had on ‘forum shopping’ and competition between the two fora with respect to HLP disputes </w:t>
      </w:r>
    </w:p>
    <w:p w:rsidR="00465936" w:rsidRPr="00915969" w:rsidRDefault="00465936" w:rsidP="00465936">
      <w:pPr>
        <w:bidi w:val="0"/>
        <w:jc w:val="both"/>
        <w:rPr>
          <w:rFonts w:ascii="Garamond" w:hAnsi="Garamond" w:cstheme="majorBidi"/>
          <w:b/>
          <w:bCs/>
        </w:rPr>
      </w:pPr>
      <w:r>
        <w:rPr>
          <w:rFonts w:ascii="Garamond" w:hAnsi="Garamond" w:cstheme="majorBidi"/>
          <w:b/>
          <w:bCs/>
        </w:rPr>
        <w:t>REPORTING</w:t>
      </w:r>
    </w:p>
    <w:p w:rsidR="00465936" w:rsidRPr="00915969" w:rsidRDefault="00465936" w:rsidP="00465936">
      <w:pPr>
        <w:pStyle w:val="a6"/>
        <w:numPr>
          <w:ilvl w:val="0"/>
          <w:numId w:val="1"/>
        </w:numPr>
        <w:bidi w:val="0"/>
        <w:spacing w:after="0" w:line="276" w:lineRule="auto"/>
        <w:jc w:val="both"/>
        <w:rPr>
          <w:rFonts w:ascii="Garamond" w:hAnsi="Garamond"/>
        </w:rPr>
      </w:pPr>
      <w:r w:rsidRPr="00915969">
        <w:rPr>
          <w:rFonts w:ascii="Garamond" w:hAnsi="Garamond"/>
        </w:rPr>
        <w:t>An initial draft of the report should be submitted to PCDCR for review</w:t>
      </w:r>
      <w:r>
        <w:rPr>
          <w:rFonts w:ascii="Garamond" w:hAnsi="Garamond"/>
        </w:rPr>
        <w:t xml:space="preserve"> by 20 Nov.</w:t>
      </w:r>
      <w:r w:rsidRPr="00915969">
        <w:rPr>
          <w:rFonts w:ascii="Garamond" w:hAnsi="Garamond"/>
        </w:rPr>
        <w:t xml:space="preserve"> 2017. </w:t>
      </w:r>
    </w:p>
    <w:p w:rsidR="00465936" w:rsidRPr="00915969" w:rsidRDefault="00465936" w:rsidP="00465936">
      <w:pPr>
        <w:pStyle w:val="a6"/>
        <w:numPr>
          <w:ilvl w:val="0"/>
          <w:numId w:val="1"/>
        </w:numPr>
        <w:bidi w:val="0"/>
        <w:spacing w:after="0" w:line="276" w:lineRule="auto"/>
        <w:jc w:val="both"/>
        <w:rPr>
          <w:rFonts w:ascii="Garamond" w:hAnsi="Garamond"/>
          <w:b/>
        </w:rPr>
      </w:pPr>
      <w:r>
        <w:rPr>
          <w:rFonts w:ascii="Garamond" w:hAnsi="Garamond"/>
        </w:rPr>
        <w:t xml:space="preserve">This draft will be reviewed </w:t>
      </w:r>
      <w:r w:rsidRPr="00915969">
        <w:rPr>
          <w:rFonts w:ascii="Garamond" w:hAnsi="Garamond"/>
        </w:rPr>
        <w:t xml:space="preserve">and returned </w:t>
      </w:r>
      <w:r>
        <w:rPr>
          <w:rFonts w:ascii="Garamond" w:hAnsi="Garamond"/>
        </w:rPr>
        <w:t xml:space="preserve">to author with </w:t>
      </w:r>
      <w:r w:rsidRPr="00915969">
        <w:rPr>
          <w:rFonts w:ascii="Garamond" w:hAnsi="Garamond"/>
        </w:rPr>
        <w:t>edits at the earliest possible time.</w:t>
      </w:r>
    </w:p>
    <w:p w:rsidR="00465936" w:rsidRPr="00915969" w:rsidRDefault="00465936" w:rsidP="00465936">
      <w:pPr>
        <w:pStyle w:val="a6"/>
        <w:numPr>
          <w:ilvl w:val="0"/>
          <w:numId w:val="1"/>
        </w:numPr>
        <w:bidi w:val="0"/>
        <w:spacing w:after="0" w:line="276" w:lineRule="auto"/>
        <w:jc w:val="both"/>
        <w:rPr>
          <w:rFonts w:ascii="Garamond" w:hAnsi="Garamond"/>
          <w:b/>
        </w:rPr>
      </w:pPr>
      <w:r w:rsidRPr="00915969">
        <w:rPr>
          <w:rFonts w:ascii="Garamond" w:hAnsi="Garamond"/>
        </w:rPr>
        <w:t>The final version should be submitted to PCDCR by 4</w:t>
      </w:r>
      <w:r>
        <w:rPr>
          <w:rFonts w:ascii="Garamond" w:hAnsi="Garamond"/>
        </w:rPr>
        <w:t xml:space="preserve"> Dec.</w:t>
      </w:r>
      <w:r w:rsidRPr="00915969">
        <w:rPr>
          <w:rFonts w:ascii="Garamond" w:hAnsi="Garamond"/>
        </w:rPr>
        <w:t xml:space="preserve"> 2017. </w:t>
      </w:r>
    </w:p>
    <w:p w:rsidR="00465936" w:rsidRPr="00915969" w:rsidRDefault="00465936" w:rsidP="00465936">
      <w:pPr>
        <w:bidi w:val="0"/>
        <w:jc w:val="both"/>
        <w:rPr>
          <w:rFonts w:ascii="Garamond" w:hAnsi="Garamond" w:cstheme="majorBidi"/>
        </w:rPr>
      </w:pPr>
    </w:p>
    <w:p w:rsidR="00465936" w:rsidRDefault="00543FCA" w:rsidP="00465936">
      <w:pPr>
        <w:bidi w:val="0"/>
        <w:jc w:val="both"/>
        <w:rPr>
          <w:rFonts w:ascii="Garamond" w:hAnsi="Garamond" w:cstheme="majorBidi"/>
          <w:b/>
          <w:bCs/>
        </w:rPr>
      </w:pPr>
      <w:r>
        <w:rPr>
          <w:rFonts w:ascii="Garamond" w:hAnsi="Garamond" w:cstheme="majorBidi"/>
          <w:b/>
          <w:bCs/>
        </w:rPr>
        <w:t xml:space="preserve">Special </w:t>
      </w:r>
      <w:r w:rsidR="002720DC">
        <w:rPr>
          <w:rFonts w:ascii="Garamond" w:hAnsi="Garamond" w:cstheme="majorBidi"/>
          <w:b/>
          <w:bCs/>
        </w:rPr>
        <w:t>Conditions:</w:t>
      </w:r>
    </w:p>
    <w:p w:rsidR="002720DC" w:rsidRPr="00987218" w:rsidRDefault="002720DC" w:rsidP="002720DC">
      <w:pPr>
        <w:pStyle w:val="a6"/>
        <w:numPr>
          <w:ilvl w:val="0"/>
          <w:numId w:val="4"/>
        </w:numPr>
        <w:bidi w:val="0"/>
        <w:jc w:val="both"/>
        <w:rPr>
          <w:rFonts w:ascii="Garamond" w:hAnsi="Garamond" w:cstheme="majorBidi"/>
        </w:rPr>
      </w:pPr>
      <w:r w:rsidRPr="00987218">
        <w:rPr>
          <w:rFonts w:ascii="Garamond" w:hAnsi="Garamond" w:cstheme="majorBidi"/>
        </w:rPr>
        <w:t>Tender closure: Wednesday 10</w:t>
      </w:r>
      <w:r w:rsidRPr="00987218">
        <w:rPr>
          <w:rFonts w:ascii="Garamond" w:hAnsi="Garamond" w:cstheme="majorBidi"/>
          <w:vertAlign w:val="superscript"/>
        </w:rPr>
        <w:t>th</w:t>
      </w:r>
      <w:r w:rsidRPr="00987218">
        <w:rPr>
          <w:rFonts w:ascii="Garamond" w:hAnsi="Garamond" w:cstheme="majorBidi"/>
        </w:rPr>
        <w:t xml:space="preserve"> October 2017 at 2:00 pm</w:t>
      </w:r>
    </w:p>
    <w:p w:rsidR="002720DC" w:rsidRPr="00987218" w:rsidRDefault="002720DC" w:rsidP="002720DC">
      <w:pPr>
        <w:pStyle w:val="a6"/>
        <w:numPr>
          <w:ilvl w:val="0"/>
          <w:numId w:val="4"/>
        </w:numPr>
        <w:bidi w:val="0"/>
        <w:jc w:val="both"/>
        <w:rPr>
          <w:rFonts w:ascii="Garamond" w:hAnsi="Garamond" w:cstheme="majorBidi"/>
        </w:rPr>
      </w:pPr>
      <w:r w:rsidRPr="00987218">
        <w:rPr>
          <w:rFonts w:ascii="Garamond" w:hAnsi="Garamond" w:cstheme="majorBidi"/>
        </w:rPr>
        <w:t>Currency: USD only</w:t>
      </w:r>
    </w:p>
    <w:p w:rsidR="002720DC" w:rsidRPr="00987218" w:rsidRDefault="00EB6F9C" w:rsidP="002720DC">
      <w:pPr>
        <w:pStyle w:val="a6"/>
        <w:numPr>
          <w:ilvl w:val="0"/>
          <w:numId w:val="4"/>
        </w:numPr>
        <w:bidi w:val="0"/>
        <w:jc w:val="both"/>
        <w:rPr>
          <w:rFonts w:ascii="Garamond" w:hAnsi="Garamond" w:cstheme="majorBidi"/>
        </w:rPr>
      </w:pPr>
      <w:r w:rsidRPr="00987218">
        <w:rPr>
          <w:rFonts w:ascii="Garamond" w:hAnsi="Garamond" w:cstheme="majorBidi"/>
        </w:rPr>
        <w:t xml:space="preserve">The contractor must submit wo separate envelopes: (technical offer </w:t>
      </w:r>
      <w:r w:rsidR="00F97FA7" w:rsidRPr="00987218">
        <w:rPr>
          <w:rFonts w:ascii="Garamond" w:hAnsi="Garamond" w:cstheme="majorBidi"/>
        </w:rPr>
        <w:t xml:space="preserve">including the timeline of implementation </w:t>
      </w:r>
      <w:r w:rsidRPr="00987218">
        <w:rPr>
          <w:rFonts w:ascii="Garamond" w:hAnsi="Garamond" w:cstheme="majorBidi"/>
        </w:rPr>
        <w:t>and financial offer)</w:t>
      </w:r>
    </w:p>
    <w:p w:rsidR="00EB6F9C" w:rsidRPr="00987218" w:rsidRDefault="00987218" w:rsidP="00EB6F9C">
      <w:pPr>
        <w:pStyle w:val="a6"/>
        <w:numPr>
          <w:ilvl w:val="0"/>
          <w:numId w:val="4"/>
        </w:numPr>
        <w:bidi w:val="0"/>
        <w:jc w:val="both"/>
        <w:rPr>
          <w:rFonts w:ascii="Garamond" w:hAnsi="Garamond" w:cstheme="majorBidi"/>
        </w:rPr>
      </w:pPr>
      <w:r w:rsidRPr="00987218">
        <w:rPr>
          <w:rFonts w:ascii="Garamond" w:hAnsi="Garamond" w:cstheme="majorBidi"/>
        </w:rPr>
        <w:t>In case of companies, they should submit (official invoice, paycheck, deduction source)</w:t>
      </w:r>
    </w:p>
    <w:p w:rsidR="00465936" w:rsidRPr="00987218" w:rsidRDefault="00465936" w:rsidP="00465936">
      <w:pPr>
        <w:bidi w:val="0"/>
        <w:jc w:val="both"/>
        <w:rPr>
          <w:rFonts w:ascii="Garamond" w:hAnsi="Garamond" w:cstheme="majorBidi"/>
        </w:rPr>
      </w:pPr>
    </w:p>
    <w:p w:rsidR="00465936" w:rsidRPr="00915969" w:rsidRDefault="00465936" w:rsidP="00465936">
      <w:pPr>
        <w:bidi w:val="0"/>
        <w:jc w:val="both"/>
        <w:rPr>
          <w:rFonts w:ascii="Garamond" w:hAnsi="Garamond" w:cstheme="majorBidi"/>
        </w:rPr>
      </w:pPr>
    </w:p>
    <w:p w:rsidR="00AA174F" w:rsidRPr="00465936" w:rsidRDefault="00AA174F"/>
    <w:sectPr w:rsidR="00AA174F" w:rsidRPr="00465936" w:rsidSect="001C50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6365"/>
    <w:multiLevelType w:val="hybridMultilevel"/>
    <w:tmpl w:val="D218A18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7316E8E"/>
    <w:multiLevelType w:val="hybridMultilevel"/>
    <w:tmpl w:val="2B7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82013"/>
    <w:multiLevelType w:val="hybridMultilevel"/>
    <w:tmpl w:val="595803D2"/>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 w15:restartNumberingAfterBreak="0">
    <w:nsid w:val="5B5D48DC"/>
    <w:multiLevelType w:val="hybridMultilevel"/>
    <w:tmpl w:val="748A76FA"/>
    <w:lvl w:ilvl="0" w:tplc="59880E7E">
      <w:start w:val="44"/>
      <w:numFmt w:val="bullet"/>
      <w:lvlText w:val="-"/>
      <w:lvlJc w:val="left"/>
      <w:pPr>
        <w:ind w:left="720" w:hanging="360"/>
      </w:pPr>
      <w:rPr>
        <w:rFonts w:ascii="Garamond" w:eastAsiaTheme="minorHAnsi" w:hAnsi="Garamond"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FE"/>
    <w:rsid w:val="001C50D3"/>
    <w:rsid w:val="002720DC"/>
    <w:rsid w:val="00383CEA"/>
    <w:rsid w:val="00465936"/>
    <w:rsid w:val="005425B2"/>
    <w:rsid w:val="00543FCA"/>
    <w:rsid w:val="007F2CA1"/>
    <w:rsid w:val="00987218"/>
    <w:rsid w:val="00AA174F"/>
    <w:rsid w:val="00AA63FE"/>
    <w:rsid w:val="00EB6F9C"/>
    <w:rsid w:val="00F97F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CB7FC-0470-4CB2-B564-A9112607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593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65936"/>
    <w:rPr>
      <w:sz w:val="16"/>
      <w:szCs w:val="16"/>
    </w:rPr>
  </w:style>
  <w:style w:type="paragraph" w:styleId="a4">
    <w:name w:val="annotation text"/>
    <w:basedOn w:val="a"/>
    <w:link w:val="Char"/>
    <w:uiPriority w:val="99"/>
    <w:unhideWhenUsed/>
    <w:rsid w:val="00465936"/>
    <w:pPr>
      <w:spacing w:line="240" w:lineRule="auto"/>
    </w:pPr>
    <w:rPr>
      <w:sz w:val="20"/>
      <w:szCs w:val="20"/>
    </w:rPr>
  </w:style>
  <w:style w:type="character" w:customStyle="1" w:styleId="Char">
    <w:name w:val="نص تعليق Char"/>
    <w:basedOn w:val="a0"/>
    <w:link w:val="a4"/>
    <w:uiPriority w:val="99"/>
    <w:rsid w:val="00465936"/>
    <w:rPr>
      <w:sz w:val="20"/>
      <w:szCs w:val="20"/>
    </w:rPr>
  </w:style>
  <w:style w:type="paragraph" w:styleId="a5">
    <w:name w:val="Balloon Text"/>
    <w:basedOn w:val="a"/>
    <w:link w:val="Char0"/>
    <w:uiPriority w:val="99"/>
    <w:semiHidden/>
    <w:unhideWhenUsed/>
    <w:rsid w:val="00465936"/>
    <w:pPr>
      <w:spacing w:after="0" w:line="240" w:lineRule="auto"/>
    </w:pPr>
    <w:rPr>
      <w:rFonts w:ascii="Tahoma" w:hAnsi="Tahoma" w:cs="Tahoma"/>
      <w:sz w:val="18"/>
      <w:szCs w:val="18"/>
    </w:rPr>
  </w:style>
  <w:style w:type="character" w:customStyle="1" w:styleId="Char0">
    <w:name w:val="نص في بالون Char"/>
    <w:basedOn w:val="a0"/>
    <w:link w:val="a5"/>
    <w:uiPriority w:val="99"/>
    <w:semiHidden/>
    <w:rsid w:val="00465936"/>
    <w:rPr>
      <w:rFonts w:ascii="Tahoma" w:hAnsi="Tahoma" w:cs="Tahoma"/>
      <w:sz w:val="18"/>
      <w:szCs w:val="18"/>
    </w:rPr>
  </w:style>
  <w:style w:type="paragraph" w:styleId="a6">
    <w:name w:val="List Paragraph"/>
    <w:basedOn w:val="a"/>
    <w:uiPriority w:val="34"/>
    <w:qFormat/>
    <w:rsid w:val="00465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 Al-Kafarna</dc:creator>
  <cp:keywords/>
  <dc:description/>
  <cp:lastModifiedBy>Mohammed El-Habash</cp:lastModifiedBy>
  <cp:revision>2</cp:revision>
  <dcterms:created xsi:type="dcterms:W3CDTF">2017-10-03T12:35:00Z</dcterms:created>
  <dcterms:modified xsi:type="dcterms:W3CDTF">2017-10-03T12:35:00Z</dcterms:modified>
</cp:coreProperties>
</file>